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3A42C4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</w:rPr>
        <w:t>2.1.8. 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A LICITANTE vencedora deve fornecer interface gráfica e relatórios de análise das Latências estabelecidas 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no item 29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, para consulta em qualquer momento.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3A42C4">
        <w:rPr>
          <w:rFonts w:asciiTheme="minorHAnsi" w:hAnsiTheme="minorHAnsi" w:cstheme="minorHAnsi"/>
          <w:bdr w:val="none" w:sz="0" w:space="0" w:color="auto" w:frame="1"/>
        </w:rPr>
        <w:t>Pergunta: Conforme descrito no item 2.1.8., poderiam explicar a referência estabelecida em epigrafe </w:t>
      </w:r>
      <w:r w:rsidRPr="003A42C4">
        <w:rPr>
          <w:rFonts w:asciiTheme="minorHAnsi" w:hAnsiTheme="minorHAnsi" w:cstheme="minorHAnsi"/>
          <w:b/>
          <w:bCs/>
          <w:bdr w:val="none" w:sz="0" w:space="0" w:color="auto" w:frame="1"/>
        </w:rPr>
        <w:t>“no item 29”,</w:t>
      </w:r>
      <w:r w:rsidRPr="003A42C4">
        <w:rPr>
          <w:rFonts w:asciiTheme="minorHAnsi" w:hAnsiTheme="minorHAnsi" w:cstheme="minorHAnsi"/>
          <w:bdr w:val="none" w:sz="0" w:space="0" w:color="auto" w:frame="1"/>
        </w:rPr>
        <w:t> pois não foi encontrado este item junto as especificações técnicas no Termo de Referência do Edital e qual devemos consultar?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A42C4">
        <w:rPr>
          <w:rFonts w:asciiTheme="minorHAnsi" w:hAnsiTheme="minorHAnsi" w:cstheme="minorHAnsi"/>
          <w:b/>
          <w:bdr w:val="none" w:sz="0" w:space="0" w:color="auto" w:frame="1"/>
        </w:rPr>
        <w:t>RESPOSTA</w:t>
      </w:r>
      <w:r w:rsidRPr="003A42C4">
        <w:rPr>
          <w:rFonts w:asciiTheme="minorHAnsi" w:hAnsiTheme="minorHAnsi" w:cstheme="minorHAnsi"/>
          <w:bdr w:val="none" w:sz="0" w:space="0" w:color="auto" w:frame="1"/>
        </w:rPr>
        <w:t>: Referência correta é o item 2.1.17.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</w:rPr>
        <w:t> 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</w:rPr>
        <w:t>2.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2.7. A CONTRATADA deverá realizar a instalação, configuração e ativação dos Links no prazo máximo de até 30 (Trinta) dias.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A42C4">
        <w:rPr>
          <w:rFonts w:asciiTheme="minorHAnsi" w:hAnsiTheme="minorHAnsi" w:cstheme="minorHAnsi"/>
          <w:bdr w:val="none" w:sz="0" w:space="0" w:color="auto" w:frame="1"/>
        </w:rPr>
        <w:t xml:space="preserve">Pergunta: Para a realização das instalações, configurações e ativações dos links solicitados neste certame e justamente visando cumprir as especificações técnicas exigidas dentro deste termo de referência, solicitamos que para este item 2.2.7 onde o prazo máximo descrito para é de 30 (Trinta ) dias, salientamos que estamos buscando adequar junto as funções e que devido a Pandemia do </w:t>
      </w:r>
      <w:proofErr w:type="spellStart"/>
      <w:r w:rsidRPr="003A42C4">
        <w:rPr>
          <w:rFonts w:asciiTheme="minorHAnsi" w:hAnsiTheme="minorHAnsi" w:cstheme="minorHAnsi"/>
          <w:bdr w:val="none" w:sz="0" w:space="0" w:color="auto" w:frame="1"/>
        </w:rPr>
        <w:t>Covid</w:t>
      </w:r>
      <w:proofErr w:type="spellEnd"/>
      <w:r w:rsidRPr="003A42C4">
        <w:rPr>
          <w:rFonts w:asciiTheme="minorHAnsi" w:hAnsiTheme="minorHAnsi" w:cstheme="minorHAnsi"/>
          <w:bdr w:val="none" w:sz="0" w:space="0" w:color="auto" w:frame="1"/>
        </w:rPr>
        <w:t xml:space="preserve"> 19, trouxeram dificuldades e adequações junto alguns órgãos que fazem as liberações e autorizações para implantações de redes, construções de dutos  e </w:t>
      </w:r>
      <w:proofErr w:type="spellStart"/>
      <w:r w:rsidRPr="003A42C4">
        <w:rPr>
          <w:rFonts w:asciiTheme="minorHAnsi" w:hAnsiTheme="minorHAnsi" w:cstheme="minorHAnsi"/>
          <w:bdr w:val="none" w:sz="0" w:space="0" w:color="auto" w:frame="1"/>
        </w:rPr>
        <w:t>posteamento</w:t>
      </w:r>
      <w:proofErr w:type="spellEnd"/>
      <w:r w:rsidRPr="003A42C4">
        <w:rPr>
          <w:rFonts w:asciiTheme="minorHAnsi" w:hAnsiTheme="minorHAnsi" w:cstheme="minorHAnsi"/>
          <w:bdr w:val="none" w:sz="0" w:space="0" w:color="auto" w:frame="1"/>
        </w:rPr>
        <w:t>. Sendo assim, solicitamos que seja ampliado o prazo para no mínimo 60 (Sessenta) dias as ativações do serviço. Está correto o nosso entendimento?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A42C4">
        <w:rPr>
          <w:rFonts w:asciiTheme="minorHAnsi" w:hAnsiTheme="minorHAnsi" w:cstheme="minorHAnsi"/>
          <w:b/>
        </w:rPr>
        <w:t>RESPOSTA</w:t>
      </w:r>
      <w:r w:rsidRPr="003A42C4">
        <w:rPr>
          <w:rFonts w:asciiTheme="minorHAnsi" w:hAnsiTheme="minorHAnsi" w:cstheme="minorHAnsi"/>
        </w:rPr>
        <w:t>: Os prazos previstos no Edital deverão ser seguidos.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ind w:left="765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br/>
        <w:t>12.4.2 Os licitantes que não possuam qualquer inscrição neste Município deverão apresentar a Certidão Negativa de Débitos Municipais (ou certidões similares) expedidas pelo Município de sua sede; e, conjuntamente, Certidão de Não Contribuinte do ISS e Taxas do Município de Niterói.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br/>
        <w:t>12.4.2.1. No caso excepcional, da certidão de Não Contribuinte do ISS e Taxas do Município de Niterói não ser fornecida do modo como requerido no item anterior, poderá o licitante declarar, facultativamente, sob as penas do art.86 da Lei nº 8.666/93, que não é contribuinte do ISS e Taxas do Município de Niterói, conforme modelo do Anexo X.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42C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bookmarkStart w:id="0" w:name="_GoBack"/>
      <w:bookmarkEnd w:id="0"/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t>Sim.</w:t>
      </w:r>
      <w:r w:rsidRPr="003A42C4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F497D"/>
          <w:bdr w:val="none" w:sz="0" w:space="0" w:color="auto" w:frame="1"/>
        </w:rPr>
      </w:pPr>
      <w:r w:rsidRPr="003A42C4">
        <w:rPr>
          <w:rFonts w:asciiTheme="minorHAnsi" w:hAnsiTheme="minorHAnsi" w:cstheme="minorHAnsi"/>
          <w:bdr w:val="none" w:sz="0" w:space="0" w:color="auto" w:frame="1"/>
        </w:rPr>
        <w:t>P</w:t>
      </w:r>
      <w:r w:rsidRPr="003A42C4">
        <w:rPr>
          <w:rFonts w:asciiTheme="minorHAnsi" w:hAnsiTheme="minorHAnsi" w:cstheme="minorHAnsi"/>
          <w:bdr w:val="none" w:sz="0" w:space="0" w:color="auto" w:frame="1"/>
        </w:rPr>
        <w:t>ERGUNTA</w:t>
      </w:r>
      <w:r w:rsidRPr="003A42C4">
        <w:rPr>
          <w:rFonts w:asciiTheme="minorHAnsi" w:hAnsiTheme="minorHAnsi" w:cstheme="minorHAnsi"/>
          <w:bdr w:val="none" w:sz="0" w:space="0" w:color="auto" w:frame="1"/>
        </w:rPr>
        <w:t>: Em relação a habilitação Jurídica, gostaríamos de sugerir que a habilitação jurídica, fiscal e financeira das empresas licitantes seja obtida através da consulta ao SICAF</w:t>
      </w:r>
      <w:r w:rsidRPr="003A42C4">
        <w:rPr>
          <w:rFonts w:asciiTheme="minorHAnsi" w:hAnsiTheme="minorHAnsi" w:cstheme="minorHAnsi"/>
          <w:color w:val="1F497D"/>
          <w:bdr w:val="none" w:sz="0" w:space="0" w:color="auto" w:frame="1"/>
        </w:rPr>
        <w:t>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3A42C4">
        <w:rPr>
          <w:rFonts w:asciiTheme="minorHAnsi" w:hAnsiTheme="minorHAnsi" w:cstheme="minorHAnsi"/>
          <w:b/>
          <w:bdr w:val="none" w:sz="0" w:space="0" w:color="auto" w:frame="1"/>
        </w:rPr>
        <w:t>RESPOSTA</w:t>
      </w:r>
      <w:r w:rsidRPr="003A42C4">
        <w:rPr>
          <w:rFonts w:asciiTheme="minorHAnsi" w:hAnsiTheme="minorHAnsi" w:cstheme="minorHAnsi"/>
          <w:bdr w:val="none" w:sz="0" w:space="0" w:color="auto" w:frame="1"/>
        </w:rPr>
        <w:t>: Seguimos a minuta padrão da Procuradoria Geral do Município de Niterói.</w:t>
      </w:r>
    </w:p>
    <w:p w:rsidR="003A42C4" w:rsidRPr="003A42C4" w:rsidRDefault="003A42C4" w:rsidP="003A42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71EF1" w:rsidRPr="003A42C4" w:rsidRDefault="00C71EF1" w:rsidP="003A42C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3A42C4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FD69F3" w:rsidRPr="003A42C4" w:rsidRDefault="00FD69F3" w:rsidP="003A42C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3A42C4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A42C4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06A46" w:rsidRPr="003A42C4">
        <w:rPr>
          <w:rFonts w:asciiTheme="minorHAnsi" w:hAnsiTheme="minorHAnsi" w:cstheme="minorHAnsi"/>
          <w:bCs/>
          <w:i/>
          <w:lang w:eastAsia="pt-BR"/>
        </w:rPr>
        <w:t>Planejamento, Orçamento e Modernização da Gestão</w:t>
      </w:r>
    </w:p>
    <w:sectPr w:rsidR="00FD69F3" w:rsidRPr="003A42C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 Planejamento, Orçamento e Modernização da Gestão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A42C4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ADE33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A42C4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E1AE-CD59-480D-946C-F6A0C7C3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2021-02-01T16:03:00Z</dcterms:created>
  <dcterms:modified xsi:type="dcterms:W3CDTF">2021-02-01T16:03:00Z</dcterms:modified>
</cp:coreProperties>
</file>